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E0" w:rsidRPr="00D2248B" w:rsidRDefault="00DB7E7C" w:rsidP="00183520">
      <w:pPr>
        <w:autoSpaceDE w:val="0"/>
        <w:autoSpaceDN w:val="0"/>
        <w:adjustRightInd w:val="0"/>
        <w:spacing w:line="360" w:lineRule="auto"/>
        <w:jc w:val="both"/>
      </w:pPr>
      <w:r w:rsidRPr="00DB7E7C">
        <w:drawing>
          <wp:inline distT="0" distB="0" distL="0" distR="0">
            <wp:extent cx="5262699" cy="2956560"/>
            <wp:effectExtent l="19050" t="0" r="14151" b="0"/>
            <wp:docPr id="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67E0" w:rsidRDefault="00B667E0" w:rsidP="006971D6">
      <w:r w:rsidRPr="00894D06">
        <w:rPr>
          <w:b/>
        </w:rPr>
        <w:t>Fig.</w:t>
      </w:r>
      <w:r>
        <w:rPr>
          <w:b/>
        </w:rPr>
        <w:t xml:space="preserve"> 2</w:t>
      </w:r>
      <w:r w:rsidRPr="00894D06">
        <w:rPr>
          <w:b/>
        </w:rPr>
        <w:t>:</w:t>
      </w:r>
      <w:r>
        <w:t xml:space="preserve"> Percentage </w:t>
      </w:r>
      <w:proofErr w:type="spellStart"/>
      <w:r>
        <w:t>evergreenness</w:t>
      </w:r>
      <w:proofErr w:type="spellEnd"/>
      <w:r>
        <w:t xml:space="preserve"> and </w:t>
      </w:r>
      <w:r w:rsidR="00F05A3F">
        <w:t xml:space="preserve">tree </w:t>
      </w:r>
      <w:r>
        <w:t>endemism across five evergreen classes</w:t>
      </w:r>
    </w:p>
    <w:p w:rsidR="00712E57" w:rsidRDefault="00712E57" w:rsidP="006971D6"/>
    <w:p w:rsidR="00712E57" w:rsidRDefault="006F5E22" w:rsidP="006971D6">
      <w:r>
        <w:rPr>
          <w:noProof/>
          <w:lang w:val="en-IN" w:eastAsia="en-IN"/>
        </w:rPr>
        <w:drawing>
          <wp:inline distT="0" distB="0" distL="0" distR="0">
            <wp:extent cx="5071568" cy="2576466"/>
            <wp:effectExtent l="19050" t="0" r="14782" b="0"/>
            <wp:docPr id="1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2E57" w:rsidRDefault="00712E57" w:rsidP="006971D6"/>
    <w:p w:rsidR="00712E57" w:rsidRDefault="00712E57" w:rsidP="006971D6">
      <w:r w:rsidRPr="0030042B">
        <w:rPr>
          <w:rFonts w:asciiTheme="minorHAnsi" w:hAnsiTheme="minorHAnsi" w:cstheme="minorHAnsi"/>
        </w:rPr>
        <w:t>Fig</w:t>
      </w:r>
      <w:r>
        <w:rPr>
          <w:rFonts w:asciiTheme="minorHAnsi" w:hAnsiTheme="minorHAnsi" w:cstheme="minorHAnsi"/>
        </w:rPr>
        <w:t>ure</w:t>
      </w:r>
      <w:r w:rsidRPr="0030042B">
        <w:rPr>
          <w:rFonts w:asciiTheme="minorHAnsi" w:hAnsiTheme="minorHAnsi" w:cstheme="minorHAnsi"/>
        </w:rPr>
        <w:t xml:space="preserve"> 3: Average annual rainfall for different locations in the river basin</w:t>
      </w:r>
    </w:p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712E57" w:rsidP="006971D6"/>
    <w:p w:rsidR="00712E57" w:rsidRDefault="006F5E22" w:rsidP="006971D6">
      <w:pPr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inline distT="0" distB="0" distL="0" distR="0">
            <wp:extent cx="4542939" cy="2296290"/>
            <wp:effectExtent l="19050" t="0" r="10011" b="8760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2E57" w:rsidRPr="00031F05" w:rsidRDefault="00712E57" w:rsidP="00712E57">
      <w:pPr>
        <w:spacing w:line="360" w:lineRule="auto"/>
        <w:rPr>
          <w:rFonts w:cstheme="minorHAnsi"/>
        </w:rPr>
      </w:pPr>
      <w:r w:rsidRPr="00031F05">
        <w:rPr>
          <w:rFonts w:cstheme="minorHAnsi"/>
        </w:rPr>
        <w:t>Fig. 4: The IVI shared by tree species across</w:t>
      </w:r>
      <w:r>
        <w:rPr>
          <w:rFonts w:cstheme="minorHAnsi"/>
        </w:rPr>
        <w:t xml:space="preserve"> </w:t>
      </w:r>
      <w:r w:rsidRPr="00031F05">
        <w:rPr>
          <w:rFonts w:cstheme="minorHAnsi"/>
        </w:rPr>
        <w:t>five evergreen classes.</w:t>
      </w:r>
    </w:p>
    <w:p w:rsidR="00712E57" w:rsidRDefault="00712E57" w:rsidP="006971D6"/>
    <w:sectPr w:rsidR="00712E57" w:rsidSect="007511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667E0"/>
    <w:rsid w:val="000531C1"/>
    <w:rsid w:val="00183520"/>
    <w:rsid w:val="00622B55"/>
    <w:rsid w:val="006971D6"/>
    <w:rsid w:val="006F5E22"/>
    <w:rsid w:val="00712E57"/>
    <w:rsid w:val="007511C6"/>
    <w:rsid w:val="009231FE"/>
    <w:rsid w:val="00B62141"/>
    <w:rsid w:val="00B667E0"/>
    <w:rsid w:val="00BD3D72"/>
    <w:rsid w:val="00C0368C"/>
    <w:rsid w:val="00C305DA"/>
    <w:rsid w:val="00D2248B"/>
    <w:rsid w:val="00DB7E7C"/>
    <w:rsid w:val="00ED1440"/>
    <w:rsid w:val="00F0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7E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03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68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aper_13april\paper%20submitted%207oct2008\current%20sc\Fig2%20to%20Fig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aper_13april\paper%20submitted%207oct2008\current%20sc\Fig2%20to%20Fig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aper_13april\paper%20submitted%207oct2008\current%20sc\Fig2%20to%20Fig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11176477276059199"/>
          <c:y val="7.4487980379618721E-2"/>
          <c:w val="0.86568679252283032"/>
          <c:h val="0.64804542930268294"/>
        </c:manualLayout>
      </c:layout>
      <c:barChart>
        <c:barDir val="col"/>
        <c:grouping val="clustered"/>
        <c:ser>
          <c:idx val="0"/>
          <c:order val="0"/>
          <c:tx>
            <c:strRef>
              <c:f>'Fig2'!$B$1</c:f>
              <c:strCache>
                <c:ptCount val="1"/>
                <c:pt idx="0">
                  <c:v>Evergreenness</c:v>
                </c:pt>
              </c:strCache>
            </c:strRef>
          </c:tx>
          <c:cat>
            <c:strRef>
              <c:f>'Fig2'!$A$2:$A$6</c:f>
              <c:strCache>
                <c:ptCount val="5"/>
                <c:pt idx="0">
                  <c:v>Very high</c:v>
                </c:pt>
                <c:pt idx="1">
                  <c:v>High</c:v>
                </c:pt>
                <c:pt idx="2">
                  <c:v>Medium</c:v>
                </c:pt>
                <c:pt idx="3">
                  <c:v>Low</c:v>
                </c:pt>
                <c:pt idx="4">
                  <c:v>Very low</c:v>
                </c:pt>
              </c:strCache>
            </c:strRef>
          </c:cat>
          <c:val>
            <c:numRef>
              <c:f>'Fig2'!$B$2:$B$6</c:f>
              <c:numCache>
                <c:formatCode>General</c:formatCode>
                <c:ptCount val="5"/>
                <c:pt idx="0">
                  <c:v>91</c:v>
                </c:pt>
                <c:pt idx="1">
                  <c:v>75</c:v>
                </c:pt>
                <c:pt idx="2">
                  <c:v>51</c:v>
                </c:pt>
                <c:pt idx="3">
                  <c:v>28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'Fig2'!$C$1</c:f>
              <c:strCache>
                <c:ptCount val="1"/>
                <c:pt idx="0">
                  <c:v>Endimism</c:v>
                </c:pt>
              </c:strCache>
            </c:strRef>
          </c:tx>
          <c:cat>
            <c:strRef>
              <c:f>'Fig2'!$A$2:$A$6</c:f>
              <c:strCache>
                <c:ptCount val="5"/>
                <c:pt idx="0">
                  <c:v>Very high</c:v>
                </c:pt>
                <c:pt idx="1">
                  <c:v>High</c:v>
                </c:pt>
                <c:pt idx="2">
                  <c:v>Medium</c:v>
                </c:pt>
                <c:pt idx="3">
                  <c:v>Low</c:v>
                </c:pt>
                <c:pt idx="4">
                  <c:v>Very low</c:v>
                </c:pt>
              </c:strCache>
            </c:strRef>
          </c:cat>
          <c:val>
            <c:numRef>
              <c:f>'Fig2'!$C$2:$C$6</c:f>
              <c:numCache>
                <c:formatCode>General</c:formatCode>
                <c:ptCount val="5"/>
                <c:pt idx="0">
                  <c:v>54.58</c:v>
                </c:pt>
                <c:pt idx="1">
                  <c:v>34</c:v>
                </c:pt>
                <c:pt idx="2">
                  <c:v>21.610000000000003</c:v>
                </c:pt>
                <c:pt idx="3">
                  <c:v>14.75</c:v>
                </c:pt>
                <c:pt idx="4">
                  <c:v>4.83</c:v>
                </c:pt>
              </c:numCache>
            </c:numRef>
          </c:val>
        </c:ser>
        <c:axId val="152757760"/>
        <c:axId val="152759680"/>
      </c:barChart>
      <c:catAx>
        <c:axId val="1527577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Evergreen Classes</a:t>
                </a:r>
              </a:p>
            </c:rich>
          </c:tx>
          <c:layout>
            <c:manualLayout>
              <c:xMode val="edge"/>
              <c:yMode val="edge"/>
              <c:x val="0.44705905239354915"/>
              <c:y val="0.80447028103738349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52759680"/>
        <c:crosses val="autoZero"/>
        <c:auto val="1"/>
        <c:lblAlgn val="ctr"/>
        <c:lblOffset val="100"/>
        <c:tickLblSkip val="1"/>
        <c:tickMarkSkip val="1"/>
      </c:catAx>
      <c:valAx>
        <c:axId val="1527596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% Value</a:t>
                </a:r>
              </a:p>
            </c:rich>
          </c:tx>
          <c:layout>
            <c:manualLayout>
              <c:xMode val="edge"/>
              <c:yMode val="edge"/>
              <c:x val="2.45099081112608E-2"/>
              <c:y val="0.31843627408381142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52757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9215708878375238"/>
          <c:y val="0.91247783813817829"/>
          <c:w val="0.30392181585722944"/>
          <c:h val="6.7039161575112263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autoTitleDeleted val="1"/>
    <c:plotArea>
      <c:layout>
        <c:manualLayout>
          <c:layoutTarget val="inner"/>
          <c:xMode val="edge"/>
          <c:yMode val="edge"/>
          <c:x val="0.12525478489672079"/>
          <c:y val="7.547190670669969E-2"/>
          <c:w val="0.85132520466389106"/>
          <c:h val="0.55094491895890774"/>
        </c:manualLayout>
      </c:layout>
      <c:barChart>
        <c:barDir val="col"/>
        <c:grouping val="clustered"/>
        <c:ser>
          <c:idx val="0"/>
          <c:order val="0"/>
          <c:tx>
            <c:strRef>
              <c:f>'Fig3'!$B$1</c:f>
              <c:strCache>
                <c:ptCount val="1"/>
                <c:pt idx="0">
                  <c:v>Rain fall (mm)</c:v>
                </c:pt>
              </c:strCache>
            </c:strRef>
          </c:tx>
          <c:cat>
            <c:strRef>
              <c:f>'Fig3'!$A$2:$A$20</c:f>
              <c:strCache>
                <c:ptCount val="19"/>
                <c:pt idx="0">
                  <c:v>Honavar</c:v>
                </c:pt>
                <c:pt idx="1">
                  <c:v>Gerusoppa</c:v>
                </c:pt>
                <c:pt idx="2">
                  <c:v>AB site</c:v>
                </c:pt>
                <c:pt idx="3">
                  <c:v>Talakalale</c:v>
                </c:pt>
                <c:pt idx="4">
                  <c:v>Kargal</c:v>
                </c:pt>
                <c:pt idx="5">
                  <c:v>Linganamakki</c:v>
                </c:pt>
                <c:pt idx="6">
                  <c:v>Sagar</c:v>
                </c:pt>
                <c:pt idx="7">
                  <c:v>Ulluru</c:v>
                </c:pt>
                <c:pt idx="8">
                  <c:v>Anandapura</c:v>
                </c:pt>
                <c:pt idx="9">
                  <c:v>Ripponpet</c:v>
                </c:pt>
                <c:pt idx="10">
                  <c:v>Battemallappa</c:v>
                </c:pt>
                <c:pt idx="11">
                  <c:v>Genasinakuni</c:v>
                </c:pt>
                <c:pt idx="12">
                  <c:v>Hoasanagara</c:v>
                </c:pt>
                <c:pt idx="13">
                  <c:v>Tumri</c:v>
                </c:pt>
                <c:pt idx="14">
                  <c:v>Arlagodu</c:v>
                </c:pt>
                <c:pt idx="15">
                  <c:v>Byakodu</c:v>
                </c:pt>
                <c:pt idx="16">
                  <c:v>Nagara</c:v>
                </c:pt>
                <c:pt idx="17">
                  <c:v>Nagodi</c:v>
                </c:pt>
                <c:pt idx="18">
                  <c:v>Kogar</c:v>
                </c:pt>
              </c:strCache>
            </c:strRef>
          </c:cat>
          <c:val>
            <c:numRef>
              <c:f>'Fig3'!$B$2:$B$20</c:f>
              <c:numCache>
                <c:formatCode>0.00</c:formatCode>
                <c:ptCount val="19"/>
                <c:pt idx="0">
                  <c:v>3380.5117647058823</c:v>
                </c:pt>
                <c:pt idx="1">
                  <c:v>3923.1463999999987</c:v>
                </c:pt>
                <c:pt idx="2">
                  <c:v>5159.1930900000034</c:v>
                </c:pt>
                <c:pt idx="3">
                  <c:v>4322.1500000000024</c:v>
                </c:pt>
                <c:pt idx="4">
                  <c:v>4351.5430999999999</c:v>
                </c:pt>
                <c:pt idx="5">
                  <c:v>3051.7516000000001</c:v>
                </c:pt>
                <c:pt idx="6">
                  <c:v>1816.54375</c:v>
                </c:pt>
                <c:pt idx="7">
                  <c:v>1650.3318750000001</c:v>
                </c:pt>
                <c:pt idx="8">
                  <c:v>1791.916500000001</c:v>
                </c:pt>
                <c:pt idx="9">
                  <c:v>1409.2950000000001</c:v>
                </c:pt>
                <c:pt idx="10">
                  <c:v>2029.2512499999998</c:v>
                </c:pt>
                <c:pt idx="11">
                  <c:v>2085.9613333333368</c:v>
                </c:pt>
                <c:pt idx="12">
                  <c:v>2950.3724999999999</c:v>
                </c:pt>
                <c:pt idx="13">
                  <c:v>3605.6135000000022</c:v>
                </c:pt>
                <c:pt idx="14">
                  <c:v>4916.7925000000014</c:v>
                </c:pt>
                <c:pt idx="15">
                  <c:v>4541.1425950000048</c:v>
                </c:pt>
                <c:pt idx="16">
                  <c:v>5041.3160000000034</c:v>
                </c:pt>
                <c:pt idx="17">
                  <c:v>5688.96</c:v>
                </c:pt>
                <c:pt idx="18">
                  <c:v>6530.9810000000007</c:v>
                </c:pt>
              </c:numCache>
            </c:numRef>
          </c:val>
        </c:ser>
        <c:axId val="152869888"/>
        <c:axId val="152876160"/>
      </c:barChart>
      <c:catAx>
        <c:axId val="152869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Locations</a:t>
                </a:r>
              </a:p>
            </c:rich>
          </c:tx>
          <c:layout>
            <c:manualLayout>
              <c:xMode val="edge"/>
              <c:yMode val="edge"/>
              <c:x val="0.45824924984368226"/>
              <c:y val="0.90000256524563504"/>
            </c:manualLayout>
          </c:layout>
        </c:title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152876160"/>
        <c:crosses val="autoZero"/>
        <c:auto val="1"/>
        <c:lblAlgn val="ctr"/>
        <c:lblOffset val="100"/>
        <c:tickLblSkip val="1"/>
        <c:tickMarkSkip val="1"/>
      </c:catAx>
      <c:valAx>
        <c:axId val="1528761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Rain fall (mm)</a:t>
                </a:r>
              </a:p>
            </c:rich>
          </c:tx>
          <c:layout>
            <c:manualLayout>
              <c:xMode val="edge"/>
              <c:yMode val="edge"/>
              <c:x val="1.2937616137652099E-2"/>
              <c:y val="0.22264217730798697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5286988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12267252461629086"/>
          <c:y val="8.5288201659954779E-2"/>
          <c:w val="0.85213592992387732"/>
          <c:h val="0.59914961666118527"/>
        </c:manualLayout>
      </c:layout>
      <c:barChart>
        <c:barDir val="col"/>
        <c:grouping val="stacked"/>
        <c:ser>
          <c:idx val="0"/>
          <c:order val="0"/>
          <c:tx>
            <c:strRef>
              <c:f>'Fig4'!$B$1</c:f>
              <c:strCache>
                <c:ptCount val="1"/>
                <c:pt idx="0">
                  <c:v>Endemics</c:v>
                </c:pt>
              </c:strCache>
            </c:strRef>
          </c:tx>
          <c:cat>
            <c:strRef>
              <c:f>'Fig4'!$A$2:$A$6</c:f>
              <c:strCache>
                <c:ptCount val="5"/>
                <c:pt idx="0">
                  <c:v>Very high</c:v>
                </c:pt>
                <c:pt idx="1">
                  <c:v>High</c:v>
                </c:pt>
                <c:pt idx="2">
                  <c:v>Medium</c:v>
                </c:pt>
                <c:pt idx="3">
                  <c:v>Low</c:v>
                </c:pt>
                <c:pt idx="4">
                  <c:v>Very low</c:v>
                </c:pt>
              </c:strCache>
            </c:strRef>
          </c:cat>
          <c:val>
            <c:numRef>
              <c:f>'Fig4'!$B$2:$B$6</c:f>
              <c:numCache>
                <c:formatCode>General</c:formatCode>
                <c:ptCount val="5"/>
                <c:pt idx="0">
                  <c:v>111.7</c:v>
                </c:pt>
                <c:pt idx="1">
                  <c:v>75.88</c:v>
                </c:pt>
                <c:pt idx="2">
                  <c:v>51.03</c:v>
                </c:pt>
                <c:pt idx="3">
                  <c:v>38.49</c:v>
                </c:pt>
                <c:pt idx="4">
                  <c:v>12.11</c:v>
                </c:pt>
              </c:numCache>
            </c:numRef>
          </c:val>
        </c:ser>
        <c:ser>
          <c:idx val="1"/>
          <c:order val="1"/>
          <c:tx>
            <c:strRef>
              <c:f>'Fig4'!$C$1</c:f>
              <c:strCache>
                <c:ptCount val="1"/>
                <c:pt idx="0">
                  <c:v>Evergreens</c:v>
                </c:pt>
              </c:strCache>
            </c:strRef>
          </c:tx>
          <c:cat>
            <c:strRef>
              <c:f>'Fig4'!$A$2:$A$6</c:f>
              <c:strCache>
                <c:ptCount val="5"/>
                <c:pt idx="0">
                  <c:v>Very high</c:v>
                </c:pt>
                <c:pt idx="1">
                  <c:v>High</c:v>
                </c:pt>
                <c:pt idx="2">
                  <c:v>Medium</c:v>
                </c:pt>
                <c:pt idx="3">
                  <c:v>Low</c:v>
                </c:pt>
                <c:pt idx="4">
                  <c:v>Very low</c:v>
                </c:pt>
              </c:strCache>
            </c:strRef>
          </c:cat>
          <c:val>
            <c:numRef>
              <c:f>'Fig4'!$C$2:$C$6</c:f>
              <c:numCache>
                <c:formatCode>General</c:formatCode>
                <c:ptCount val="5"/>
                <c:pt idx="0">
                  <c:v>155.15</c:v>
                </c:pt>
                <c:pt idx="1">
                  <c:v>140.69</c:v>
                </c:pt>
                <c:pt idx="2">
                  <c:v>106</c:v>
                </c:pt>
                <c:pt idx="3">
                  <c:v>59.57</c:v>
                </c:pt>
                <c:pt idx="4">
                  <c:v>18.03</c:v>
                </c:pt>
              </c:numCache>
            </c:numRef>
          </c:val>
        </c:ser>
        <c:ser>
          <c:idx val="2"/>
          <c:order val="2"/>
          <c:tx>
            <c:strRef>
              <c:f>'Fig4'!$D$1</c:f>
              <c:strCache>
                <c:ptCount val="1"/>
                <c:pt idx="0">
                  <c:v>Deciduous</c:v>
                </c:pt>
              </c:strCache>
            </c:strRef>
          </c:tx>
          <c:cat>
            <c:strRef>
              <c:f>'Fig4'!$A$2:$A$6</c:f>
              <c:strCache>
                <c:ptCount val="5"/>
                <c:pt idx="0">
                  <c:v>Very high</c:v>
                </c:pt>
                <c:pt idx="1">
                  <c:v>High</c:v>
                </c:pt>
                <c:pt idx="2">
                  <c:v>Medium</c:v>
                </c:pt>
                <c:pt idx="3">
                  <c:v>Low</c:v>
                </c:pt>
                <c:pt idx="4">
                  <c:v>Very low</c:v>
                </c:pt>
              </c:strCache>
            </c:strRef>
          </c:cat>
          <c:val>
            <c:numRef>
              <c:f>'Fig4'!$D$2:$D$6</c:f>
              <c:numCache>
                <c:formatCode>General</c:formatCode>
                <c:ptCount val="5"/>
                <c:pt idx="0">
                  <c:v>33.15</c:v>
                </c:pt>
                <c:pt idx="1">
                  <c:v>83.43</c:v>
                </c:pt>
                <c:pt idx="2">
                  <c:v>142.97</c:v>
                </c:pt>
                <c:pt idx="3">
                  <c:v>201.94</c:v>
                </c:pt>
                <c:pt idx="4">
                  <c:v>269.86</c:v>
                </c:pt>
              </c:numCache>
            </c:numRef>
          </c:val>
        </c:ser>
        <c:overlap val="100"/>
        <c:axId val="152917888"/>
        <c:axId val="152920064"/>
      </c:barChart>
      <c:catAx>
        <c:axId val="152917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Evergreen Classes</a:t>
                </a:r>
              </a:p>
            </c:rich>
          </c:tx>
          <c:layout>
            <c:manualLayout>
              <c:xMode val="edge"/>
              <c:yMode val="edge"/>
              <c:x val="0.44906911293002227"/>
              <c:y val="0.7782547890468916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52920064"/>
        <c:crosses val="autoZero"/>
        <c:auto val="1"/>
        <c:lblAlgn val="ctr"/>
        <c:lblOffset val="100"/>
        <c:tickLblSkip val="1"/>
        <c:tickMarkSkip val="1"/>
      </c:catAx>
      <c:valAx>
        <c:axId val="1529200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IVI Value</a:t>
                </a:r>
              </a:p>
            </c:rich>
          </c:tx>
          <c:layout>
            <c:manualLayout>
              <c:xMode val="edge"/>
              <c:yMode val="edge"/>
              <c:x val="2.1791179674655575E-2"/>
              <c:y val="0.28658139869093191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52917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167575753738211"/>
          <c:y val="0.8976581658635957"/>
          <c:w val="0.71412935389387933"/>
          <c:h val="7.8891761664120374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RMRC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Divakar Mesta</dc:creator>
  <cp:lastModifiedBy>Divakar</cp:lastModifiedBy>
  <cp:revision>5</cp:revision>
  <cp:lastPrinted>2008-10-02T09:57:00Z</cp:lastPrinted>
  <dcterms:created xsi:type="dcterms:W3CDTF">2016-11-16T14:35:00Z</dcterms:created>
  <dcterms:modified xsi:type="dcterms:W3CDTF">2016-11-16T14:39:00Z</dcterms:modified>
</cp:coreProperties>
</file>